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928" w:rightFromText="142" w:vertAnchor="page" w:horzAnchor="page" w:tblpX="681" w:tblpY="625"/>
        <w:tblW w:w="106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13"/>
      </w:tblGrid>
      <w:tr w:rsidR="00C04FFE" w:rsidTr="00C04FFE">
        <w:trPr>
          <w:trHeight w:hRule="exact" w:val="1134"/>
        </w:trPr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C04FFE" w:rsidRDefault="00C04FFE" w:rsidP="00C04FFE">
            <w:pPr>
              <w:spacing w:after="120" w:line="240" w:lineRule="auto"/>
              <w:jc w:val="right"/>
              <w:rPr>
                <w:rFonts w:ascii="Georgia" w:hAnsi="Georgia"/>
              </w:rPr>
            </w:pPr>
            <w:bookmarkStart w:id="0" w:name="_GoBack"/>
            <w:bookmarkEnd w:id="0"/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7CE0ED5D" wp14:editId="5BFF143A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C04FFE" w:rsidRDefault="00C04FFE" w:rsidP="00C04FF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C04FFE" w:rsidRDefault="00C04FFE" w:rsidP="00C04FFE">
            <w:pPr>
              <w:pStyle w:val="Adresa"/>
              <w:spacing w:after="120" w:line="240" w:lineRule="auto"/>
            </w:pPr>
            <w:r>
              <w:t>Odbor zahraničněpolitických analýz a plánování                  Loretánské nám. 5, 118 00 Praha 1</w:t>
            </w:r>
          </w:p>
          <w:p w:rsidR="00C04FFE" w:rsidRDefault="00547322" w:rsidP="00C04FFE">
            <w:pPr>
              <w:pStyle w:val="Adresa"/>
              <w:spacing w:after="120" w:line="240" w:lineRule="auto"/>
            </w:pPr>
            <w:r>
              <w:t>tel.: +420 224 182</w:t>
            </w:r>
            <w:r w:rsidR="00C04FFE">
              <w:t xml:space="preserve">708, fax: +420 224 182015                                 </w:t>
            </w:r>
            <w:proofErr w:type="gramStart"/>
            <w:r w:rsidR="00C04FFE">
              <w:t>email:  ozap_dotace@mzv.cz</w:t>
            </w:r>
            <w:proofErr w:type="gramEnd"/>
          </w:p>
          <w:p w:rsidR="00C04FFE" w:rsidRDefault="001456B2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  <w:hyperlink r:id="rId6" w:history="1">
              <w:r w:rsidR="00C04FFE">
                <w:rPr>
                  <w:rStyle w:val="Hypertextovodkaz"/>
                </w:rPr>
                <w:t>www.mzv.cz</w:t>
              </w:r>
            </w:hyperlink>
          </w:p>
          <w:p w:rsidR="00C04FFE" w:rsidRDefault="00C04FFE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</w:p>
          <w:p w:rsidR="00C04FFE" w:rsidRDefault="00C04FFE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</w:p>
          <w:p w:rsidR="00C04FFE" w:rsidRDefault="00C04FFE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</w:p>
          <w:p w:rsidR="00C04FFE" w:rsidRDefault="00C04FFE" w:rsidP="00C04FFE">
            <w:pPr>
              <w:pStyle w:val="Adresa"/>
              <w:spacing w:after="120" w:line="240" w:lineRule="auto"/>
            </w:pPr>
          </w:p>
        </w:tc>
      </w:tr>
    </w:tbl>
    <w:p w:rsidR="00040C46" w:rsidRDefault="00040C46" w:rsidP="00040C46">
      <w:pPr>
        <w:jc w:val="both"/>
      </w:pPr>
    </w:p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Příloha č. X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04FFE" w:rsidTr="00C04FFE">
        <w:trPr>
          <w:trHeight w:val="4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4FFE" w:rsidRPr="00AA1D91" w:rsidRDefault="00C04FFE" w:rsidP="00C04FFE">
            <w:pPr>
              <w:pStyle w:val="Nadpis1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mallCaps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b/>
                <w:smallCaps/>
              </w:rPr>
              <w:t xml:space="preserve">Priority zahraniční politiky ČR a mezinárodní vztahy </w:t>
            </w:r>
          </w:p>
        </w:tc>
      </w:tr>
    </w:tbl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04FFE" w:rsidRPr="00AA1D91" w:rsidTr="00DE652E">
        <w:trPr>
          <w:trHeight w:val="4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4FFE" w:rsidRPr="00AA1D91" w:rsidRDefault="00C04FFE" w:rsidP="00C04FFE">
            <w:pPr>
              <w:pStyle w:val="Nadpis1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mallCaps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b/>
                <w:smallCaps/>
              </w:rPr>
              <w:t>Priorit</w:t>
            </w:r>
            <w:r>
              <w:rPr>
                <w:rFonts w:ascii="Times New Roman" w:hAnsi="Times New Roman" w:cs="Times New Roman"/>
                <w:b/>
                <w:smallCaps/>
              </w:rPr>
              <w:t>ní okruhy pro rok 2020</w:t>
            </w:r>
            <w:r w:rsidRPr="00AA1D91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</w:p>
        </w:tc>
      </w:tr>
    </w:tbl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p w:rsidR="00C04FFE" w:rsidRPr="00131DCE" w:rsidRDefault="00C04FFE" w:rsidP="00C04FFE">
      <w:pPr>
        <w:spacing w:before="240" w:after="0" w:line="259" w:lineRule="auto"/>
        <w:contextualSpacing/>
        <w:jc w:val="both"/>
        <w:rPr>
          <w:rFonts w:ascii="Georgia" w:hAnsi="Georgia"/>
          <w:b/>
        </w:rPr>
      </w:pPr>
      <w:r w:rsidRPr="00131DCE">
        <w:rPr>
          <w:rFonts w:ascii="Georgia" w:hAnsi="Georgia"/>
          <w:b/>
        </w:rPr>
        <w:t>ČR v Evropské unii</w:t>
      </w:r>
    </w:p>
    <w:p w:rsidR="00C04FFE" w:rsidRDefault="00C04FFE" w:rsidP="00C04FFE">
      <w:pPr>
        <w:pStyle w:val="Odstavecseseznamem"/>
        <w:numPr>
          <w:ilvl w:val="0"/>
          <w:numId w:val="5"/>
        </w:numPr>
        <w:spacing w:before="120" w:after="120" w:line="259" w:lineRule="auto"/>
        <w:ind w:left="714" w:hanging="357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Prosazování priorit zahraniční politiky ČR v rámci n</w:t>
      </w:r>
      <w:r w:rsidRPr="00131DCE">
        <w:rPr>
          <w:rFonts w:ascii="Georgia" w:hAnsi="Georgia"/>
        </w:rPr>
        <w:t>ov</w:t>
      </w:r>
      <w:r>
        <w:rPr>
          <w:rFonts w:ascii="Georgia" w:hAnsi="Georgia"/>
        </w:rPr>
        <w:t>ého</w:t>
      </w:r>
      <w:r w:rsidRPr="00131DCE">
        <w:rPr>
          <w:rFonts w:ascii="Georgia" w:hAnsi="Georgia"/>
        </w:rPr>
        <w:t xml:space="preserve"> institucionální</w:t>
      </w:r>
      <w:r>
        <w:rPr>
          <w:rFonts w:ascii="Georgia" w:hAnsi="Georgia"/>
        </w:rPr>
        <w:t>ho</w:t>
      </w:r>
      <w:r w:rsidRPr="00131DCE">
        <w:rPr>
          <w:rFonts w:ascii="Georgia" w:hAnsi="Georgia"/>
        </w:rPr>
        <w:t xml:space="preserve"> cyklu po volbách do EP</w:t>
      </w:r>
      <w:r>
        <w:rPr>
          <w:rFonts w:ascii="Georgia" w:hAnsi="Georgia"/>
        </w:rPr>
        <w:t xml:space="preserve"> </w:t>
      </w:r>
      <w:r w:rsidRPr="00131DCE">
        <w:rPr>
          <w:rFonts w:ascii="Georgia" w:hAnsi="Georgia"/>
        </w:rPr>
        <w:t>2019</w:t>
      </w:r>
    </w:p>
    <w:p w:rsidR="00C04FFE" w:rsidRDefault="00C04FFE" w:rsidP="00C04FFE">
      <w:pPr>
        <w:pStyle w:val="Odstavecseseznamem"/>
        <w:numPr>
          <w:ilvl w:val="0"/>
          <w:numId w:val="5"/>
        </w:numPr>
        <w:spacing w:before="120" w:after="120" w:line="259" w:lineRule="auto"/>
        <w:ind w:left="714" w:hanging="357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Pr="00131DCE">
        <w:rPr>
          <w:rFonts w:ascii="Georgia" w:hAnsi="Georgia"/>
        </w:rPr>
        <w:t>říprav</w:t>
      </w:r>
      <w:r>
        <w:rPr>
          <w:rFonts w:ascii="Georgia" w:hAnsi="Georgia"/>
        </w:rPr>
        <w:t>a</w:t>
      </w:r>
      <w:r w:rsidRPr="00131DC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na </w:t>
      </w:r>
      <w:r w:rsidRPr="00131DCE">
        <w:rPr>
          <w:rFonts w:ascii="Georgia" w:hAnsi="Georgia"/>
        </w:rPr>
        <w:t>CZ PRES EU 2022</w:t>
      </w:r>
      <w:r>
        <w:rPr>
          <w:rFonts w:ascii="Georgia" w:hAnsi="Georgia"/>
        </w:rPr>
        <w:t xml:space="preserve"> vč. zintenzivnění spolupráce ČR s Francií a Švédskem</w:t>
      </w:r>
    </w:p>
    <w:p w:rsidR="00C04FFE" w:rsidRPr="00FB3E12" w:rsidRDefault="00C04FFE" w:rsidP="00C04FFE">
      <w:pPr>
        <w:pStyle w:val="Odstavecseseznamem"/>
        <w:numPr>
          <w:ilvl w:val="0"/>
          <w:numId w:val="5"/>
        </w:numPr>
        <w:spacing w:before="240" w:after="120" w:line="259" w:lineRule="auto"/>
        <w:ind w:left="714" w:hanging="357"/>
        <w:contextualSpacing/>
        <w:jc w:val="both"/>
        <w:rPr>
          <w:rFonts w:ascii="Georgia" w:hAnsi="Georgia"/>
        </w:rPr>
      </w:pPr>
      <w:r w:rsidRPr="00FB3E12">
        <w:rPr>
          <w:rFonts w:ascii="Georgia" w:hAnsi="Georgia"/>
        </w:rPr>
        <w:t xml:space="preserve">Nové příležitosti pro českou zahraniční politiku v kontextu Víceletého finančního rámce </w:t>
      </w:r>
      <w:r>
        <w:rPr>
          <w:rFonts w:ascii="Georgia" w:hAnsi="Georgia"/>
        </w:rPr>
        <w:t xml:space="preserve">EU </w:t>
      </w:r>
      <w:r w:rsidRPr="00FB3E12">
        <w:rPr>
          <w:rFonts w:ascii="Georgia" w:hAnsi="Georgia"/>
        </w:rPr>
        <w:t>2021-2027</w:t>
      </w:r>
    </w:p>
    <w:p w:rsidR="00C04FFE" w:rsidRPr="00FB3E12" w:rsidRDefault="00C04FFE" w:rsidP="00C04FFE">
      <w:pPr>
        <w:pStyle w:val="Odstavecseseznamem"/>
        <w:numPr>
          <w:ilvl w:val="0"/>
          <w:numId w:val="5"/>
        </w:numPr>
        <w:spacing w:before="240" w:after="120" w:line="259" w:lineRule="auto"/>
        <w:ind w:left="714" w:hanging="357"/>
        <w:contextualSpacing/>
        <w:jc w:val="both"/>
        <w:rPr>
          <w:rFonts w:ascii="Georgia" w:hAnsi="Georgia"/>
        </w:rPr>
      </w:pPr>
      <w:r w:rsidRPr="00FB3E12">
        <w:rPr>
          <w:rFonts w:ascii="Georgia" w:hAnsi="Georgia"/>
          <w:i/>
        </w:rPr>
        <w:t>Brexit</w:t>
      </w:r>
      <w:r w:rsidRPr="00FB3E12">
        <w:rPr>
          <w:rFonts w:ascii="Georgia" w:hAnsi="Georgia"/>
        </w:rPr>
        <w:t xml:space="preserve"> a jeho dopady na </w:t>
      </w:r>
      <w:r>
        <w:rPr>
          <w:rFonts w:ascii="Georgia" w:hAnsi="Georgia"/>
        </w:rPr>
        <w:t>fungování EU a na vybrané unijní politiky (zejm. SZBP, obchod, vnitřní trh)</w:t>
      </w:r>
      <w:r w:rsidRPr="00FB3E12">
        <w:rPr>
          <w:rFonts w:ascii="Georgia" w:hAnsi="Georgia"/>
        </w:rPr>
        <w:t xml:space="preserve"> </w:t>
      </w:r>
    </w:p>
    <w:p w:rsidR="00C04FFE" w:rsidRPr="00FB3E12" w:rsidRDefault="00C04FFE" w:rsidP="00C04FFE">
      <w:pPr>
        <w:pStyle w:val="Odstavecseseznamem"/>
        <w:numPr>
          <w:ilvl w:val="0"/>
          <w:numId w:val="5"/>
        </w:numPr>
        <w:spacing w:before="240" w:after="160" w:line="259" w:lineRule="auto"/>
        <w:ind w:left="714" w:hanging="357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</w:rPr>
        <w:t>Priority a zájmy ČR ve vztahu k r</w:t>
      </w:r>
      <w:r w:rsidRPr="00FB3E12">
        <w:rPr>
          <w:rFonts w:ascii="Georgia" w:hAnsi="Georgia"/>
        </w:rPr>
        <w:t>ozšiřování EU a</w:t>
      </w:r>
      <w:r>
        <w:rPr>
          <w:rFonts w:ascii="Georgia" w:hAnsi="Georgia"/>
        </w:rPr>
        <w:t> k </w:t>
      </w:r>
      <w:r w:rsidRPr="00FB3E12">
        <w:rPr>
          <w:rFonts w:ascii="Georgia" w:hAnsi="Georgia"/>
        </w:rPr>
        <w:t>Východní</w:t>
      </w:r>
      <w:r>
        <w:rPr>
          <w:rFonts w:ascii="Georgia" w:hAnsi="Georgia"/>
        </w:rPr>
        <w:t>mu</w:t>
      </w:r>
      <w:r w:rsidRPr="00FB3E12">
        <w:rPr>
          <w:rFonts w:ascii="Georgia" w:hAnsi="Georgia"/>
        </w:rPr>
        <w:t xml:space="preserve"> partnerství</w:t>
      </w:r>
    </w:p>
    <w:p w:rsidR="00C04FFE" w:rsidRPr="00131DCE" w:rsidRDefault="00C04FFE" w:rsidP="00C04FFE">
      <w:pPr>
        <w:spacing w:before="240" w:after="0" w:line="259" w:lineRule="auto"/>
        <w:contextualSpacing/>
        <w:jc w:val="both"/>
        <w:rPr>
          <w:rFonts w:ascii="Georgia" w:hAnsi="Georgia"/>
          <w:b/>
        </w:rPr>
      </w:pPr>
      <w:r w:rsidRPr="00131DCE">
        <w:rPr>
          <w:rFonts w:ascii="Georgia" w:hAnsi="Georgia"/>
          <w:b/>
        </w:rPr>
        <w:t>Bezpečnost</w:t>
      </w:r>
    </w:p>
    <w:p w:rsidR="00C04FFE" w:rsidRPr="00131DCE" w:rsidRDefault="00C04FFE" w:rsidP="00C04FFE">
      <w:pPr>
        <w:pStyle w:val="Odstavecseseznamem"/>
        <w:numPr>
          <w:ilvl w:val="0"/>
          <w:numId w:val="5"/>
        </w:numPr>
        <w:spacing w:before="120" w:after="120" w:line="259" w:lineRule="auto"/>
        <w:ind w:left="714" w:hanging="357"/>
        <w:contextualSpacing/>
        <w:jc w:val="both"/>
        <w:rPr>
          <w:rFonts w:ascii="Georgia" w:hAnsi="Georgia"/>
        </w:rPr>
      </w:pPr>
      <w:r w:rsidRPr="00131DCE">
        <w:rPr>
          <w:rFonts w:ascii="Georgia" w:hAnsi="Georgia"/>
        </w:rPr>
        <w:t>P</w:t>
      </w:r>
      <w:r>
        <w:rPr>
          <w:rFonts w:ascii="Georgia" w:hAnsi="Georgia"/>
        </w:rPr>
        <w:t>říležitosti a rizika v kontextu P</w:t>
      </w:r>
      <w:r w:rsidRPr="00131DCE">
        <w:rPr>
          <w:rFonts w:ascii="Georgia" w:hAnsi="Georgia"/>
        </w:rPr>
        <w:t>artnersk</w:t>
      </w:r>
      <w:r>
        <w:rPr>
          <w:rFonts w:ascii="Georgia" w:hAnsi="Georgia"/>
        </w:rPr>
        <w:t>é</w:t>
      </w:r>
      <w:r w:rsidRPr="00131DCE">
        <w:rPr>
          <w:rFonts w:ascii="Georgia" w:hAnsi="Georgia"/>
        </w:rPr>
        <w:t xml:space="preserve"> politik</w:t>
      </w:r>
      <w:r>
        <w:rPr>
          <w:rFonts w:ascii="Georgia" w:hAnsi="Georgia"/>
        </w:rPr>
        <w:t>y</w:t>
      </w:r>
      <w:r w:rsidRPr="00131DCE">
        <w:rPr>
          <w:rFonts w:ascii="Georgia" w:hAnsi="Georgia"/>
        </w:rPr>
        <w:t xml:space="preserve"> a </w:t>
      </w:r>
      <w:r>
        <w:rPr>
          <w:rFonts w:ascii="Georgia" w:hAnsi="Georgia"/>
        </w:rPr>
        <w:t>P</w:t>
      </w:r>
      <w:r w:rsidRPr="00131DCE">
        <w:rPr>
          <w:rFonts w:ascii="Georgia" w:hAnsi="Georgia"/>
        </w:rPr>
        <w:t>olitik</w:t>
      </w:r>
      <w:r>
        <w:rPr>
          <w:rFonts w:ascii="Georgia" w:hAnsi="Georgia"/>
        </w:rPr>
        <w:t>y</w:t>
      </w:r>
      <w:r w:rsidRPr="00131DCE">
        <w:rPr>
          <w:rFonts w:ascii="Georgia" w:hAnsi="Georgia"/>
        </w:rPr>
        <w:t xml:space="preserve"> otevřených dveří NATO</w:t>
      </w:r>
    </w:p>
    <w:p w:rsidR="00C04FFE" w:rsidRPr="00131DCE" w:rsidRDefault="00C04FFE" w:rsidP="00C04FFE">
      <w:pPr>
        <w:pStyle w:val="Odstavecseseznamem"/>
        <w:numPr>
          <w:ilvl w:val="0"/>
          <w:numId w:val="5"/>
        </w:numPr>
        <w:spacing w:before="240" w:after="120" w:line="259" w:lineRule="auto"/>
        <w:ind w:left="714" w:hanging="357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Akceschopná Společná</w:t>
      </w:r>
      <w:r w:rsidRPr="00131DCE">
        <w:rPr>
          <w:rFonts w:ascii="Georgia" w:hAnsi="Georgia"/>
        </w:rPr>
        <w:t xml:space="preserve"> bezpečnostní a obrann</w:t>
      </w:r>
      <w:r>
        <w:rPr>
          <w:rFonts w:ascii="Georgia" w:hAnsi="Georgia"/>
        </w:rPr>
        <w:t>á</w:t>
      </w:r>
      <w:r w:rsidRPr="00131DCE">
        <w:rPr>
          <w:rFonts w:ascii="Georgia" w:hAnsi="Georgia"/>
        </w:rPr>
        <w:t xml:space="preserve"> politik</w:t>
      </w:r>
      <w:r>
        <w:rPr>
          <w:rFonts w:ascii="Georgia" w:hAnsi="Georgia"/>
        </w:rPr>
        <w:t>a</w:t>
      </w:r>
      <w:r w:rsidRPr="00131DCE">
        <w:rPr>
          <w:rFonts w:ascii="Georgia" w:hAnsi="Georgia"/>
        </w:rPr>
        <w:t xml:space="preserve"> EU </w:t>
      </w:r>
    </w:p>
    <w:p w:rsidR="00C04FFE" w:rsidRPr="00131DCE" w:rsidRDefault="00C04FFE" w:rsidP="00C04FFE">
      <w:pPr>
        <w:pStyle w:val="Odstavecseseznamem"/>
        <w:numPr>
          <w:ilvl w:val="0"/>
          <w:numId w:val="5"/>
        </w:numPr>
        <w:spacing w:before="240" w:after="120" w:line="259" w:lineRule="auto"/>
        <w:ind w:left="714" w:hanging="357"/>
        <w:contextualSpacing/>
        <w:jc w:val="both"/>
        <w:rPr>
          <w:rFonts w:ascii="Georgia" w:hAnsi="Georgia"/>
        </w:rPr>
      </w:pPr>
      <w:r w:rsidRPr="00131DCE">
        <w:rPr>
          <w:rFonts w:ascii="Georgia" w:hAnsi="Georgia"/>
        </w:rPr>
        <w:t xml:space="preserve">Zvyšování odolnosti </w:t>
      </w:r>
      <w:r>
        <w:rPr>
          <w:rFonts w:ascii="Georgia" w:hAnsi="Georgia"/>
        </w:rPr>
        <w:t xml:space="preserve">EU, NATO, zemí západního Balkánu a Východního partnerství </w:t>
      </w:r>
      <w:r w:rsidRPr="00131DCE">
        <w:rPr>
          <w:rFonts w:ascii="Georgia" w:hAnsi="Georgia"/>
        </w:rPr>
        <w:t>proti hybridním hrozbám</w:t>
      </w:r>
      <w:r>
        <w:rPr>
          <w:rFonts w:ascii="Georgia" w:hAnsi="Georgia"/>
        </w:rPr>
        <w:t>, zejména v oblasti dezinformací a kybernetické bezpečnosti</w:t>
      </w:r>
    </w:p>
    <w:p w:rsidR="00C04FFE" w:rsidRPr="00131DCE" w:rsidRDefault="00C04FFE" w:rsidP="00C04FFE">
      <w:pPr>
        <w:spacing w:before="240" w:after="0" w:line="259" w:lineRule="auto"/>
        <w:contextualSpacing/>
        <w:jc w:val="both"/>
        <w:rPr>
          <w:rFonts w:ascii="Georgia" w:hAnsi="Georgia"/>
          <w:b/>
        </w:rPr>
      </w:pPr>
      <w:r w:rsidRPr="00131DCE">
        <w:rPr>
          <w:rFonts w:ascii="Georgia" w:hAnsi="Georgia"/>
          <w:b/>
        </w:rPr>
        <w:t xml:space="preserve">Prosperita a udržitelný rozvoj </w:t>
      </w:r>
    </w:p>
    <w:p w:rsidR="00C04FFE" w:rsidRPr="00496779" w:rsidRDefault="00C04FFE" w:rsidP="00C04FFE">
      <w:pPr>
        <w:pStyle w:val="Odstavecseseznamem"/>
        <w:numPr>
          <w:ilvl w:val="0"/>
          <w:numId w:val="5"/>
        </w:numPr>
        <w:spacing w:before="120" w:after="120" w:line="259" w:lineRule="auto"/>
        <w:ind w:left="714" w:hanging="357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Rozvoj moderní ekonomické diplomacie ČR</w:t>
      </w:r>
    </w:p>
    <w:p w:rsidR="00C04FFE" w:rsidRPr="00496779" w:rsidRDefault="00C04FFE" w:rsidP="00C04FFE">
      <w:pPr>
        <w:pStyle w:val="Odstavecseseznamem"/>
        <w:numPr>
          <w:ilvl w:val="0"/>
          <w:numId w:val="5"/>
        </w:numPr>
        <w:spacing w:after="160" w:line="259" w:lineRule="auto"/>
        <w:contextualSpacing/>
        <w:jc w:val="both"/>
        <w:rPr>
          <w:rFonts w:ascii="Georgia" w:hAnsi="Georgia"/>
        </w:rPr>
      </w:pPr>
      <w:r w:rsidRPr="00496779">
        <w:rPr>
          <w:rFonts w:ascii="Georgia" w:hAnsi="Georgia"/>
        </w:rPr>
        <w:t xml:space="preserve">Modernizace WTO a reakce na nové trendy globální ekonomiky </w:t>
      </w:r>
      <w:r>
        <w:rPr>
          <w:rFonts w:ascii="Georgia" w:hAnsi="Georgia"/>
        </w:rPr>
        <w:t>vč. digitalizace</w:t>
      </w:r>
    </w:p>
    <w:p w:rsidR="00C04FFE" w:rsidRPr="00496779" w:rsidRDefault="00C04FFE" w:rsidP="00C04FFE">
      <w:pPr>
        <w:pStyle w:val="Odstavecseseznamem"/>
        <w:numPr>
          <w:ilvl w:val="0"/>
          <w:numId w:val="5"/>
        </w:numPr>
        <w:spacing w:after="160" w:line="259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Naplňování</w:t>
      </w:r>
      <w:r w:rsidRPr="00496779">
        <w:rPr>
          <w:rFonts w:ascii="Georgia" w:hAnsi="Georgia"/>
        </w:rPr>
        <w:t xml:space="preserve"> Agendy 2030 OSN - globálních Cílů udržitelného rozvoje</w:t>
      </w:r>
      <w:r>
        <w:rPr>
          <w:rFonts w:ascii="Georgia" w:hAnsi="Georgia"/>
        </w:rPr>
        <w:t>, se zvláštním důrazem na SDG 16 – Mír, spravedlnost a silné instituce, zejména otázka politické participace</w:t>
      </w:r>
    </w:p>
    <w:p w:rsidR="00C04FFE" w:rsidRPr="00496779" w:rsidRDefault="00C04FFE" w:rsidP="00C04FFE">
      <w:pPr>
        <w:pStyle w:val="Odstavecseseznamem"/>
        <w:numPr>
          <w:ilvl w:val="0"/>
          <w:numId w:val="5"/>
        </w:numPr>
        <w:spacing w:before="240" w:after="120" w:line="259" w:lineRule="auto"/>
        <w:ind w:left="714" w:hanging="357"/>
        <w:contextualSpacing/>
        <w:jc w:val="both"/>
        <w:rPr>
          <w:rFonts w:ascii="Georgia" w:hAnsi="Georgia"/>
        </w:rPr>
      </w:pPr>
      <w:r w:rsidRPr="00496779">
        <w:rPr>
          <w:rFonts w:ascii="Georgia" w:hAnsi="Georgia"/>
        </w:rPr>
        <w:t xml:space="preserve">Stabilizace a rozvoj </w:t>
      </w:r>
      <w:r>
        <w:rPr>
          <w:rFonts w:ascii="Georgia" w:hAnsi="Georgia"/>
        </w:rPr>
        <w:t>zahraniční rozvojové spolupráce (ZRS)</w:t>
      </w:r>
      <w:r w:rsidRPr="00496779">
        <w:rPr>
          <w:rFonts w:ascii="Georgia" w:hAnsi="Georgia"/>
        </w:rPr>
        <w:t xml:space="preserve"> </w:t>
      </w:r>
      <w:r>
        <w:rPr>
          <w:rFonts w:ascii="Georgia" w:hAnsi="Georgia"/>
        </w:rPr>
        <w:t>ČR, včetně sektorových rozvojových platforem</w:t>
      </w:r>
    </w:p>
    <w:p w:rsidR="00C04FFE" w:rsidRPr="00832FD6" w:rsidRDefault="00C04FFE" w:rsidP="00C04FFE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Možnosti fungování vědecké diplomacie</w:t>
      </w:r>
    </w:p>
    <w:p w:rsidR="00C04FFE" w:rsidRPr="00131DCE" w:rsidRDefault="00C04FFE" w:rsidP="00C04FFE">
      <w:pPr>
        <w:spacing w:before="240" w:after="0" w:line="259" w:lineRule="auto"/>
        <w:contextualSpacing/>
        <w:jc w:val="both"/>
        <w:rPr>
          <w:rFonts w:ascii="Georgia" w:hAnsi="Georgia"/>
          <w:b/>
        </w:rPr>
      </w:pPr>
      <w:r w:rsidRPr="00131DCE">
        <w:rPr>
          <w:rFonts w:ascii="Georgia" w:hAnsi="Georgia"/>
          <w:b/>
        </w:rPr>
        <w:t>Lidská důstojnost a lidská práva</w:t>
      </w:r>
    </w:p>
    <w:p w:rsidR="00C04FFE" w:rsidRPr="00132C25" w:rsidRDefault="00C04FFE" w:rsidP="00C04FFE">
      <w:pPr>
        <w:pStyle w:val="Odstavecseseznamem"/>
        <w:numPr>
          <w:ilvl w:val="0"/>
          <w:numId w:val="5"/>
        </w:numPr>
        <w:spacing w:before="120" w:after="160" w:line="259" w:lineRule="auto"/>
        <w:ind w:left="714" w:hanging="357"/>
        <w:contextualSpacing/>
        <w:jc w:val="both"/>
        <w:rPr>
          <w:rFonts w:ascii="Georgia" w:hAnsi="Georgia"/>
          <w:b/>
        </w:rPr>
      </w:pPr>
      <w:r w:rsidRPr="00132C25">
        <w:rPr>
          <w:rFonts w:ascii="Georgia" w:hAnsi="Georgia"/>
        </w:rPr>
        <w:t>Členství ČR v Radě pro lidská práva</w:t>
      </w:r>
      <w:r>
        <w:rPr>
          <w:rFonts w:ascii="Georgia" w:hAnsi="Georgia"/>
        </w:rPr>
        <w:t xml:space="preserve"> ve světle </w:t>
      </w:r>
      <w:r w:rsidRPr="00132C25">
        <w:rPr>
          <w:rFonts w:ascii="Georgia" w:hAnsi="Georgia"/>
        </w:rPr>
        <w:t>tematick</w:t>
      </w:r>
      <w:r>
        <w:rPr>
          <w:rFonts w:ascii="Georgia" w:hAnsi="Georgia"/>
        </w:rPr>
        <w:t>ých</w:t>
      </w:r>
      <w:r w:rsidRPr="00132C25">
        <w:rPr>
          <w:rFonts w:ascii="Georgia" w:hAnsi="Georgia"/>
        </w:rPr>
        <w:t xml:space="preserve"> priorit: případy závažného porušování lidských práv; univerzální periodické přezkumy; prosazování tématu participace ve veřejných a politických záležitostech; podpora preventivní rol</w:t>
      </w:r>
      <w:r>
        <w:rPr>
          <w:rFonts w:ascii="Georgia" w:hAnsi="Georgia"/>
        </w:rPr>
        <w:t>e</w:t>
      </w:r>
      <w:r w:rsidRPr="00132C25">
        <w:rPr>
          <w:rFonts w:ascii="Georgia" w:hAnsi="Georgia"/>
        </w:rPr>
        <w:t xml:space="preserve"> RLP jakožto nástroje včasného varování a předcházení konfliktů</w:t>
      </w:r>
    </w:p>
    <w:p w:rsidR="00C04FFE" w:rsidRPr="00131DCE" w:rsidRDefault="00C04FFE" w:rsidP="00C04FFE">
      <w:pPr>
        <w:pStyle w:val="Odstavecseseznamem"/>
        <w:numPr>
          <w:ilvl w:val="0"/>
          <w:numId w:val="7"/>
        </w:numPr>
        <w:spacing w:after="160" w:line="259" w:lineRule="auto"/>
        <w:contextualSpacing/>
        <w:jc w:val="both"/>
        <w:rPr>
          <w:rFonts w:ascii="Georgia" w:hAnsi="Georgia"/>
        </w:rPr>
      </w:pPr>
      <w:r w:rsidRPr="00496779">
        <w:rPr>
          <w:rFonts w:ascii="Georgia" w:hAnsi="Georgia"/>
        </w:rPr>
        <w:t>Předsednictví ČR ve výboru lidské dimenze OBSE</w:t>
      </w:r>
      <w:r>
        <w:rPr>
          <w:rFonts w:ascii="Georgia" w:hAnsi="Georgia"/>
        </w:rPr>
        <w:t xml:space="preserve"> ve světle </w:t>
      </w:r>
      <w:r w:rsidRPr="00132C25">
        <w:rPr>
          <w:rFonts w:ascii="Georgia" w:hAnsi="Georgia"/>
        </w:rPr>
        <w:t>tematických priorit:</w:t>
      </w:r>
      <w:r w:rsidRPr="00131DCE">
        <w:rPr>
          <w:rFonts w:ascii="Georgia" w:hAnsi="Georgia"/>
        </w:rPr>
        <w:t xml:space="preserve"> </w:t>
      </w:r>
      <w:r>
        <w:rPr>
          <w:rFonts w:ascii="Georgia" w:hAnsi="Georgia"/>
        </w:rPr>
        <w:t>p</w:t>
      </w:r>
      <w:r w:rsidRPr="00131DCE">
        <w:rPr>
          <w:rFonts w:ascii="Georgia" w:hAnsi="Georgia"/>
        </w:rPr>
        <w:t>articipace na veřejném a politickém životě, tolerance</w:t>
      </w:r>
      <w:r>
        <w:rPr>
          <w:rFonts w:ascii="Georgia" w:hAnsi="Georgia"/>
        </w:rPr>
        <w:t xml:space="preserve"> a</w:t>
      </w:r>
      <w:r w:rsidRPr="00131DCE">
        <w:rPr>
          <w:rFonts w:ascii="Georgia" w:hAnsi="Georgia"/>
        </w:rPr>
        <w:t xml:space="preserve"> nediskriminace, svobod</w:t>
      </w:r>
      <w:r>
        <w:rPr>
          <w:rFonts w:ascii="Georgia" w:hAnsi="Georgia"/>
        </w:rPr>
        <w:t>a</w:t>
      </w:r>
      <w:r w:rsidRPr="00131DCE">
        <w:rPr>
          <w:rFonts w:ascii="Georgia" w:hAnsi="Georgia"/>
        </w:rPr>
        <w:t xml:space="preserve"> projevu, svobod</w:t>
      </w:r>
      <w:r>
        <w:rPr>
          <w:rFonts w:ascii="Georgia" w:hAnsi="Georgia"/>
        </w:rPr>
        <w:t>a</w:t>
      </w:r>
      <w:r w:rsidRPr="00131DCE">
        <w:rPr>
          <w:rFonts w:ascii="Georgia" w:hAnsi="Georgia"/>
        </w:rPr>
        <w:t xml:space="preserve"> médií a přístup k informacím; svobodn</w:t>
      </w:r>
      <w:r>
        <w:rPr>
          <w:rFonts w:ascii="Georgia" w:hAnsi="Georgia"/>
        </w:rPr>
        <w:t>é</w:t>
      </w:r>
      <w:r w:rsidRPr="00131DCE">
        <w:rPr>
          <w:rFonts w:ascii="Georgia" w:hAnsi="Georgia"/>
        </w:rPr>
        <w:t xml:space="preserve"> volb</w:t>
      </w:r>
      <w:r>
        <w:rPr>
          <w:rFonts w:ascii="Georgia" w:hAnsi="Georgia"/>
        </w:rPr>
        <w:t>y</w:t>
      </w:r>
      <w:r w:rsidRPr="00131DCE">
        <w:rPr>
          <w:rFonts w:ascii="Georgia" w:hAnsi="Georgia"/>
        </w:rPr>
        <w:t>; prevence mučení, předcházení násilí na ženách; podpora hospodářských, sociálních a kulturních práv</w:t>
      </w:r>
      <w:r>
        <w:rPr>
          <w:rFonts w:ascii="Georgia" w:hAnsi="Georgia"/>
        </w:rPr>
        <w:t>;</w:t>
      </w:r>
      <w:r w:rsidRPr="00131DCE">
        <w:rPr>
          <w:rFonts w:ascii="Georgia" w:hAnsi="Georgia"/>
        </w:rPr>
        <w:t xml:space="preserve"> podpora občanské společnosti, obránců lidských práv a svobody shromažďování a sdružování </w:t>
      </w:r>
    </w:p>
    <w:p w:rsidR="00C04FFE" w:rsidRPr="00496779" w:rsidRDefault="00C04FFE" w:rsidP="00C04FFE">
      <w:pPr>
        <w:pStyle w:val="Odstavecseseznamem"/>
        <w:numPr>
          <w:ilvl w:val="0"/>
          <w:numId w:val="7"/>
        </w:numPr>
        <w:spacing w:after="160" w:line="259" w:lineRule="auto"/>
        <w:contextualSpacing/>
        <w:jc w:val="both"/>
        <w:rPr>
          <w:rFonts w:ascii="Georgia" w:hAnsi="Georgia"/>
        </w:rPr>
      </w:pPr>
      <w:r w:rsidRPr="00496779">
        <w:rPr>
          <w:rFonts w:ascii="Georgia" w:hAnsi="Georgia"/>
        </w:rPr>
        <w:t>Podpora mezinárodního trestního soudnictví vč. nejudiciálního mechanismu pro Sýrii</w:t>
      </w:r>
    </w:p>
    <w:p w:rsidR="00C04FFE" w:rsidRDefault="00C04FFE" w:rsidP="00C04FFE">
      <w:pPr>
        <w:spacing w:before="240" w:after="0" w:line="259" w:lineRule="auto"/>
        <w:contextualSpacing/>
        <w:jc w:val="both"/>
        <w:rPr>
          <w:rFonts w:ascii="Georgia" w:hAnsi="Georgia"/>
          <w:b/>
        </w:rPr>
      </w:pPr>
    </w:p>
    <w:p w:rsidR="00C04FFE" w:rsidRDefault="00C04FFE" w:rsidP="00C04FFE">
      <w:pPr>
        <w:spacing w:before="240" w:after="0" w:line="259" w:lineRule="auto"/>
        <w:contextualSpacing/>
        <w:jc w:val="both"/>
        <w:rPr>
          <w:rFonts w:ascii="Georgia" w:hAnsi="Georgia"/>
          <w:b/>
        </w:rPr>
      </w:pPr>
    </w:p>
    <w:p w:rsidR="00C04FFE" w:rsidRPr="00131DCE" w:rsidRDefault="00C04FFE" w:rsidP="00C04FFE">
      <w:pPr>
        <w:spacing w:before="240" w:after="0" w:line="259" w:lineRule="auto"/>
        <w:contextualSpacing/>
        <w:jc w:val="both"/>
        <w:rPr>
          <w:rFonts w:ascii="Georgia" w:hAnsi="Georgia"/>
          <w:b/>
        </w:rPr>
      </w:pPr>
      <w:r w:rsidRPr="00131DCE">
        <w:rPr>
          <w:rFonts w:ascii="Georgia" w:hAnsi="Georgia"/>
          <w:b/>
        </w:rPr>
        <w:t xml:space="preserve">Dobré jméno ČR a služba občanům </w:t>
      </w:r>
    </w:p>
    <w:p w:rsidR="00C04FFE" w:rsidRDefault="00C04FFE" w:rsidP="00C04FFE">
      <w:pPr>
        <w:pStyle w:val="Odstavecseseznamem"/>
        <w:numPr>
          <w:ilvl w:val="0"/>
          <w:numId w:val="5"/>
        </w:numPr>
        <w:spacing w:before="120" w:after="120" w:line="259" w:lineRule="auto"/>
        <w:ind w:left="714" w:hanging="357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Promítnutí I</w:t>
      </w:r>
      <w:r w:rsidRPr="00324354">
        <w:rPr>
          <w:rFonts w:ascii="Georgia" w:hAnsi="Georgia"/>
        </w:rPr>
        <w:t>novační strategie ČR do veřejné diplomacie</w:t>
      </w:r>
    </w:p>
    <w:p w:rsidR="00C04FFE" w:rsidRPr="00324354" w:rsidRDefault="00C04FFE" w:rsidP="00C04FFE">
      <w:pPr>
        <w:pStyle w:val="Odstavecseseznamem"/>
        <w:numPr>
          <w:ilvl w:val="0"/>
          <w:numId w:val="5"/>
        </w:numPr>
        <w:spacing w:before="120" w:after="120" w:line="259" w:lineRule="auto"/>
        <w:ind w:left="714" w:hanging="357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Naplňování aktualizované Koncepce jednotné prezentace ČR v zahraničí</w:t>
      </w:r>
    </w:p>
    <w:p w:rsidR="00C04FFE" w:rsidRPr="00324354" w:rsidRDefault="00C04FFE" w:rsidP="00C04FFE">
      <w:pPr>
        <w:pStyle w:val="Odstavecseseznamem"/>
        <w:numPr>
          <w:ilvl w:val="0"/>
          <w:numId w:val="8"/>
        </w:numPr>
        <w:spacing w:after="160" w:line="259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Spolupráce</w:t>
      </w:r>
      <w:r w:rsidRPr="00324354">
        <w:rPr>
          <w:rFonts w:ascii="Georgia" w:hAnsi="Georgia"/>
        </w:rPr>
        <w:t xml:space="preserve"> orgánů státní správy </w:t>
      </w:r>
      <w:r>
        <w:rPr>
          <w:rFonts w:ascii="Georgia" w:hAnsi="Georgia"/>
        </w:rPr>
        <w:t>při</w:t>
      </w:r>
      <w:r w:rsidRPr="00324354">
        <w:rPr>
          <w:rFonts w:ascii="Georgia" w:hAnsi="Georgia"/>
        </w:rPr>
        <w:t> </w:t>
      </w:r>
      <w:r>
        <w:rPr>
          <w:rFonts w:ascii="Georgia" w:hAnsi="Georgia"/>
        </w:rPr>
        <w:t>podpoře</w:t>
      </w:r>
      <w:r w:rsidRPr="00324354">
        <w:rPr>
          <w:rFonts w:ascii="Georgia" w:hAnsi="Georgia"/>
        </w:rPr>
        <w:t xml:space="preserve"> krajanských komunit </w:t>
      </w:r>
    </w:p>
    <w:sectPr w:rsidR="00C04FFE" w:rsidRPr="00324354" w:rsidSect="00C04FF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838"/>
    <w:multiLevelType w:val="hybridMultilevel"/>
    <w:tmpl w:val="2ED8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4A01"/>
    <w:multiLevelType w:val="hybridMultilevel"/>
    <w:tmpl w:val="9BA6C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001B"/>
    <w:multiLevelType w:val="hybridMultilevel"/>
    <w:tmpl w:val="6A049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51C"/>
    <w:multiLevelType w:val="hybridMultilevel"/>
    <w:tmpl w:val="CBF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46B7C"/>
    <w:multiLevelType w:val="hybridMultilevel"/>
    <w:tmpl w:val="C494E146"/>
    <w:lvl w:ilvl="0" w:tplc="59BE52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393DE8"/>
    <w:multiLevelType w:val="hybridMultilevel"/>
    <w:tmpl w:val="4DE47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91403"/>
    <w:multiLevelType w:val="hybridMultilevel"/>
    <w:tmpl w:val="8E42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807EE"/>
    <w:multiLevelType w:val="hybridMultilevel"/>
    <w:tmpl w:val="2504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67D8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D1"/>
    <w:rsid w:val="00040C46"/>
    <w:rsid w:val="000C7BD1"/>
    <w:rsid w:val="001456B2"/>
    <w:rsid w:val="002B61BF"/>
    <w:rsid w:val="004F3DE8"/>
    <w:rsid w:val="00547322"/>
    <w:rsid w:val="00A01554"/>
    <w:rsid w:val="00AA1D91"/>
    <w:rsid w:val="00C0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4CB7A-C008-48F3-BD55-F85AB6E6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40C46"/>
    <w:rPr>
      <w:rFonts w:ascii="Calibri" w:eastAsia="Times New Roman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"/>
    <w:qFormat/>
    <w:rsid w:val="00040C46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040C46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40C46"/>
    <w:pPr>
      <w:ind w:left="708"/>
    </w:pPr>
  </w:style>
  <w:style w:type="character" w:customStyle="1" w:styleId="NzevuraduChar">
    <w:name w:val="Název uradu Char"/>
    <w:link w:val="Nzevuradu"/>
    <w:uiPriority w:val="99"/>
    <w:locked/>
    <w:rsid w:val="00C04FFE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C04FFE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C04FFE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C04FFE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04F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v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Lucie Jůzová</cp:lastModifiedBy>
  <cp:revision>2</cp:revision>
  <dcterms:created xsi:type="dcterms:W3CDTF">2019-09-24T08:01:00Z</dcterms:created>
  <dcterms:modified xsi:type="dcterms:W3CDTF">2019-09-24T08:01:00Z</dcterms:modified>
</cp:coreProperties>
</file>